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7.500,00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 xml:space="preserve">“Scelta di contromisure efficaci e convenienti per sistemi di </w:t>
      </w:r>
      <w:proofErr w:type="spellStart"/>
      <w:r>
        <w:rPr>
          <w:rFonts w:ascii="Arial" w:hAnsi="Arial" w:cs="Arial"/>
          <w:b/>
          <w:sz w:val="24"/>
          <w:szCs w:val="24"/>
        </w:rPr>
        <w:t>smart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metering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Selecting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effective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reliable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countermeasures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smart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metering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infrastructures</w:t>
      </w:r>
      <w:proofErr w:type="spellEnd"/>
      <w:r>
        <w:rPr>
          <w:rFonts w:ascii="Arial" w:hAnsi="Arial" w:cs="Arial"/>
          <w:b/>
          <w:sz w:val="24"/>
          <w:szCs w:val="24"/>
        </w:rPr>
        <w:t>)”.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542F02"/>
    <w:rsid w:val="0062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2016-05-04T07:11:00Z</dcterms:created>
  <dcterms:modified xsi:type="dcterms:W3CDTF">2016-05-04T07:12:00Z</dcterms:modified>
</cp:coreProperties>
</file>